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9B" w:rsidRDefault="00547F9B" w:rsidP="00D064EA">
      <w:pPr>
        <w:rPr>
          <w:rFonts w:ascii="Sylfaen" w:hAnsi="Sylfaen"/>
          <w:b/>
          <w:lang w:val="ka-GE"/>
        </w:rPr>
      </w:pPr>
    </w:p>
    <w:tbl>
      <w:tblPr>
        <w:tblStyle w:val="TableGrid"/>
        <w:tblpPr w:leftFromText="180" w:rightFromText="180" w:vertAnchor="text" w:horzAnchor="margin" w:tblpXSpec="right" w:tblpY="225"/>
        <w:tblW w:w="9922" w:type="dxa"/>
        <w:tblLook w:val="01E0" w:firstRow="1" w:lastRow="1" w:firstColumn="1" w:lastColumn="1" w:noHBand="0" w:noVBand="0"/>
      </w:tblPr>
      <w:tblGrid>
        <w:gridCol w:w="604"/>
        <w:gridCol w:w="5650"/>
        <w:gridCol w:w="1748"/>
        <w:gridCol w:w="1920"/>
      </w:tblGrid>
      <w:tr w:rsidR="00547F9B" w:rsidRPr="007B549E" w:rsidTr="004B700D">
        <w:trPr>
          <w:trHeight w:val="704"/>
        </w:trPr>
        <w:tc>
          <w:tcPr>
            <w:tcW w:w="604" w:type="dxa"/>
            <w:vAlign w:val="center"/>
          </w:tcPr>
          <w:p w:rsidR="00547F9B" w:rsidRPr="007B549E" w:rsidRDefault="00547F9B" w:rsidP="00547F9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  <w:r w:rsidRPr="007B549E">
              <w:rPr>
                <w:rFonts w:ascii="AcadNusx" w:hAnsi="AcadNusx"/>
                <w:b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650" w:type="dxa"/>
            <w:vAlign w:val="center"/>
          </w:tcPr>
          <w:p w:rsidR="00547F9B" w:rsidRPr="007B549E" w:rsidRDefault="00547F9B" w:rsidP="00547F9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  <w:r w:rsidRPr="007B549E">
              <w:rPr>
                <w:rFonts w:ascii="AcadNusx" w:hAnsi="AcadNusx"/>
                <w:b/>
                <w:sz w:val="24"/>
                <w:szCs w:val="24"/>
                <w:lang w:eastAsia="ru-RU"/>
              </w:rPr>
              <w:t>samuSaos dasaxeleba</w:t>
            </w:r>
          </w:p>
        </w:tc>
        <w:tc>
          <w:tcPr>
            <w:tcW w:w="1748" w:type="dxa"/>
            <w:vAlign w:val="center"/>
          </w:tcPr>
          <w:p w:rsidR="00547F9B" w:rsidRPr="007B549E" w:rsidRDefault="00547F9B" w:rsidP="00547F9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  <w:r w:rsidRPr="007B549E">
              <w:rPr>
                <w:rFonts w:ascii="AcadNusx" w:hAnsi="AcadNusx"/>
                <w:b/>
                <w:sz w:val="24"/>
                <w:szCs w:val="24"/>
                <w:lang w:eastAsia="ru-RU"/>
              </w:rPr>
              <w:t>sazomi erTeuli</w:t>
            </w:r>
          </w:p>
        </w:tc>
        <w:tc>
          <w:tcPr>
            <w:tcW w:w="1920" w:type="dxa"/>
            <w:vAlign w:val="center"/>
          </w:tcPr>
          <w:p w:rsidR="00547F9B" w:rsidRPr="007B549E" w:rsidRDefault="00547F9B" w:rsidP="00547F9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  <w:r w:rsidRPr="007B549E">
              <w:rPr>
                <w:rFonts w:ascii="AcadNusx" w:hAnsi="AcadNusx"/>
                <w:b/>
                <w:sz w:val="24"/>
                <w:szCs w:val="24"/>
                <w:lang w:eastAsia="ru-RU"/>
              </w:rPr>
              <w:t>raodenoba</w:t>
            </w:r>
          </w:p>
        </w:tc>
      </w:tr>
      <w:tr w:rsidR="00547F9B" w:rsidRPr="007B549E" w:rsidTr="004B700D">
        <w:trPr>
          <w:trHeight w:val="551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samuSao adgilis momzadeba da teqnologiuri mowyobilobebis gadatana saremonto moedanze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kompleqti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salteebis da Sleifebis Caxsna 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9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zeTis Camosxma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kg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23800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110kv-iani Smyvanebis demontaJi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110kv-iani buSingis SekeTeba 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val="ka-GE" w:eastAsia="ru-RU"/>
              </w:rPr>
            </w:pPr>
            <w:r w:rsidRPr="00DA23E1">
              <w:rPr>
                <w:rFonts w:ascii="AcadMtavr" w:hAnsi="AcadMtavr"/>
                <w:b/>
                <w:lang w:val="ka-GE" w:eastAsia="ru-RU"/>
              </w:rPr>
              <w:t>2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6kv-iani izoliatorebis demontaJi, garecxva - revizia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10kv-iani izoliatorebis demontaJi, garecxva - revizia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gazuri</w:t>
            </w:r>
            <w:r w:rsidRPr="007B549E">
              <w:rPr>
                <w:rFonts w:ascii="AcadMtavr" w:hAnsi="AcadMtavr"/>
                <w:b/>
                <w:lang w:eastAsia="ru-RU"/>
              </w:rPr>
              <w:t xml:space="preserve"> reles demontaJi revizia.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Aavzze radiatorebis demontJi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val="ka-GE" w:eastAsia="ru-RU"/>
              </w:rPr>
              <w:t>2</w:t>
            </w:r>
          </w:p>
        </w:tc>
      </w:tr>
      <w:tr w:rsidR="00547F9B" w:rsidRPr="007B549E" w:rsidTr="004B700D">
        <w:trPr>
          <w:trHeight w:val="551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radiatorebis Camketebis revizia. rezinis safenebis daWra da Scvla.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4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Termosignalizatoris Secvla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radiatorebis garecxva zeTiT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 zeTis Sroba, degazacia, meqanikuri minarevebisgan gawmenda </w:t>
            </w:r>
            <w:r w:rsidRPr="00DA23E1">
              <w:rPr>
                <w:rFonts w:ascii="AcadMtavr" w:hAnsi="AcadMtavr"/>
                <w:b/>
                <w:lang w:eastAsia="ru-RU"/>
              </w:rPr>
              <w:t>da Sroba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kg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23800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avzze radiatorebis da Camketebis montaJi.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 tr-ris momzadeba saSrobad da Sroba cxeli zeTis gafrqveviT da vakumirebiT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1 </w:t>
            </w:r>
          </w:p>
        </w:tc>
      </w:tr>
      <w:tr w:rsidR="00547F9B" w:rsidRPr="007B549E" w:rsidTr="004B700D">
        <w:trPr>
          <w:trHeight w:val="418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110kv-iani izoliatorebis  montaJi 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2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6kv-iani izoliatorebis montaJi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10kv-iani izoliatorebis montaJi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3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gazuri reles montaJi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547F9B" w:rsidRPr="007B549E" w:rsidTr="004B700D">
        <w:trPr>
          <w:trHeight w:val="800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 tr-is yvela luqis da fiqsatorebis  daWera</w:t>
            </w:r>
            <w:r w:rsidRPr="00DA23E1">
              <w:rPr>
                <w:rFonts w:ascii="AcadMtavr" w:hAnsi="AcadMtavr"/>
                <w:b/>
                <w:lang w:eastAsia="ru-RU"/>
              </w:rPr>
              <w:t xml:space="preserve"> zeTgamZlee safenebis Secvla (saWiroebis SemTxvevaSi)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 transformatoris zeTiT Sevseba vakumis qveS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kg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23800</w:t>
            </w:r>
          </w:p>
        </w:tc>
      </w:tr>
      <w:tr w:rsidR="00547F9B" w:rsidRPr="007B549E" w:rsidTr="004B700D">
        <w:trPr>
          <w:trHeight w:val="551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transformatoris sruli laboratoriuli Semowmeba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tr-ri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547F9B" w:rsidRPr="007B549E" w:rsidTr="004B700D">
        <w:trPr>
          <w:trHeight w:val="399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Ggagrilebis sistemis revizia remonti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6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 transformatoris korpusis garecxva cximgamxsnelebiT da SeRebva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DA23E1" w:rsidRDefault="00547F9B" w:rsidP="00547F9B">
            <w:pPr>
              <w:spacing w:after="0" w:line="240" w:lineRule="auto"/>
              <w:ind w:left="8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samuSao adgilis </w:t>
            </w:r>
            <w:r w:rsidRPr="00DA23E1">
              <w:rPr>
                <w:rFonts w:ascii="AcadMtavr" w:hAnsi="AcadMtavr"/>
                <w:b/>
                <w:lang w:eastAsia="ru-RU"/>
              </w:rPr>
              <w:t>dalageba</w:t>
            </w:r>
            <w:r w:rsidRPr="007B549E">
              <w:rPr>
                <w:rFonts w:ascii="AcadMtavr" w:hAnsi="AcadMtavr"/>
                <w:b/>
                <w:lang w:eastAsia="ru-RU"/>
              </w:rPr>
              <w:t xml:space="preserve"> da teqnologiuri mowyobilobebis gatana saremonto moed</w:t>
            </w:r>
            <w:r w:rsidRPr="00DA23E1">
              <w:rPr>
                <w:rFonts w:ascii="AcadMtavr" w:hAnsi="AcadMtavr"/>
                <w:b/>
                <w:lang w:eastAsia="ru-RU"/>
              </w:rPr>
              <w:t>nidan</w:t>
            </w:r>
          </w:p>
        </w:tc>
        <w:tc>
          <w:tcPr>
            <w:tcW w:w="1748" w:type="dxa"/>
          </w:tcPr>
          <w:p w:rsidR="00547F9B" w:rsidRPr="00DA23E1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DA23E1">
              <w:rPr>
                <w:rFonts w:ascii="AcadMtavr" w:hAnsi="AcadMtavr"/>
                <w:b/>
                <w:lang w:eastAsia="ru-RU"/>
              </w:rPr>
              <w:t>kompleqti</w:t>
            </w:r>
          </w:p>
        </w:tc>
        <w:tc>
          <w:tcPr>
            <w:tcW w:w="1920" w:type="dxa"/>
          </w:tcPr>
          <w:p w:rsidR="00547F9B" w:rsidRPr="00DA23E1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  <w:tr w:rsidR="00547F9B" w:rsidRPr="007B549E" w:rsidTr="004B700D">
        <w:trPr>
          <w:trHeight w:val="532"/>
        </w:trPr>
        <w:tc>
          <w:tcPr>
            <w:tcW w:w="604" w:type="dxa"/>
          </w:tcPr>
          <w:p w:rsidR="00547F9B" w:rsidRPr="007B549E" w:rsidRDefault="00547F9B" w:rsidP="00547F9B">
            <w:pPr>
              <w:spacing w:after="0" w:line="240" w:lineRule="auto"/>
              <w:jc w:val="right"/>
              <w:rPr>
                <w:rFonts w:ascii="AcadNusx" w:hAnsi="AcadNusx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:rsidR="00547F9B" w:rsidRPr="007B549E" w:rsidRDefault="00547F9B" w:rsidP="00547F9B">
            <w:pPr>
              <w:spacing w:after="0" w:line="240" w:lineRule="auto"/>
              <w:ind w:left="8" w:firstLine="0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 xml:space="preserve">  teqnikuri angariSis momzadeba da dokumentaciis gaformeba</w:t>
            </w:r>
          </w:p>
        </w:tc>
        <w:tc>
          <w:tcPr>
            <w:tcW w:w="1748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cali</w:t>
            </w:r>
          </w:p>
        </w:tc>
        <w:tc>
          <w:tcPr>
            <w:tcW w:w="1920" w:type="dxa"/>
          </w:tcPr>
          <w:p w:rsidR="00547F9B" w:rsidRPr="007B549E" w:rsidRDefault="00547F9B" w:rsidP="00547F9B">
            <w:pPr>
              <w:spacing w:after="0" w:line="360" w:lineRule="auto"/>
              <w:jc w:val="center"/>
              <w:rPr>
                <w:rFonts w:ascii="AcadMtavr" w:hAnsi="AcadMtavr"/>
                <w:b/>
                <w:lang w:eastAsia="ru-RU"/>
              </w:rPr>
            </w:pPr>
            <w:r w:rsidRPr="007B549E">
              <w:rPr>
                <w:rFonts w:ascii="AcadMtavr" w:hAnsi="AcadMtavr"/>
                <w:b/>
                <w:lang w:eastAsia="ru-RU"/>
              </w:rPr>
              <w:t>1</w:t>
            </w:r>
          </w:p>
        </w:tc>
      </w:tr>
    </w:tbl>
    <w:p w:rsidR="00547F9B" w:rsidRPr="00547F9B" w:rsidRDefault="00547F9B">
      <w:pPr>
        <w:rPr>
          <w:lang w:val="ka-GE"/>
        </w:rPr>
      </w:pPr>
      <w:bookmarkStart w:id="0" w:name="_GoBack"/>
      <w:bookmarkEnd w:id="0"/>
    </w:p>
    <w:sectPr w:rsidR="00547F9B" w:rsidRPr="0054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62"/>
    <w:rsid w:val="00051D46"/>
    <w:rsid w:val="003D4E62"/>
    <w:rsid w:val="004B700D"/>
    <w:rsid w:val="00547F9B"/>
    <w:rsid w:val="00D064EA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40D0"/>
  <w15:chartTrackingRefBased/>
  <w15:docId w15:val="{F3ADCC39-85F2-4A8E-8C0A-D4517AC0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9B"/>
    <w:pPr>
      <w:spacing w:after="200" w:line="276" w:lineRule="auto"/>
      <w:ind w:left="-227" w:firstLine="284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Lile Pirveli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8</cp:revision>
  <dcterms:created xsi:type="dcterms:W3CDTF">2020-02-21T12:36:00Z</dcterms:created>
  <dcterms:modified xsi:type="dcterms:W3CDTF">2020-02-21T12:51:00Z</dcterms:modified>
</cp:coreProperties>
</file>